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60" w:rsidRDefault="003B7E60" w:rsidP="003B7E60">
      <w:pPr>
        <w:rPr>
          <w:b/>
          <w:bCs/>
        </w:rPr>
      </w:pPr>
    </w:p>
    <w:p w:rsidR="003B7E60" w:rsidRPr="00930F8E" w:rsidRDefault="003B7E60" w:rsidP="003B7E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F8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3B7E60" w:rsidRPr="00930F8E" w:rsidRDefault="003B7E60" w:rsidP="003B7E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F8E">
        <w:rPr>
          <w:rFonts w:ascii="Times New Roman" w:hAnsi="Times New Roman" w:cs="Times New Roman"/>
          <w:b/>
          <w:bCs/>
          <w:sz w:val="24"/>
          <w:szCs w:val="24"/>
        </w:rPr>
        <w:t>do uchwały nr XIl</w:t>
      </w:r>
      <w:r>
        <w:rPr>
          <w:rFonts w:ascii="Times New Roman" w:hAnsi="Times New Roman" w:cs="Times New Roman"/>
          <w:b/>
          <w:bCs/>
          <w:sz w:val="24"/>
          <w:szCs w:val="24"/>
        </w:rPr>
        <w:t>.93.2019</w:t>
      </w:r>
      <w:r w:rsidRPr="00930F8E">
        <w:rPr>
          <w:rFonts w:ascii="Times New Roman" w:hAnsi="Times New Roman" w:cs="Times New Roman"/>
          <w:b/>
          <w:bCs/>
          <w:sz w:val="24"/>
          <w:szCs w:val="24"/>
        </w:rPr>
        <w:t xml:space="preserve"> Rady </w:t>
      </w:r>
      <w:r>
        <w:rPr>
          <w:rFonts w:ascii="Times New Roman" w:hAnsi="Times New Roman" w:cs="Times New Roman"/>
          <w:b/>
          <w:bCs/>
          <w:sz w:val="24"/>
          <w:szCs w:val="24"/>
        </w:rPr>
        <w:t>Gminy Domaradz</w:t>
      </w:r>
      <w:r w:rsidRPr="00930F8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30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930F8E">
        <w:rPr>
          <w:rFonts w:ascii="Times New Roman" w:hAnsi="Times New Roman" w:cs="Times New Roman"/>
          <w:b/>
          <w:bCs/>
          <w:sz w:val="24"/>
          <w:szCs w:val="24"/>
        </w:rPr>
        <w:t xml:space="preserve"> 2019 r.</w:t>
      </w:r>
    </w:p>
    <w:p w:rsidR="003B7E60" w:rsidRPr="00930F8E" w:rsidRDefault="003B7E60" w:rsidP="003B7E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F8E">
        <w:rPr>
          <w:rFonts w:ascii="Times New Roman" w:hAnsi="Times New Roman" w:cs="Times New Roman"/>
          <w:b/>
          <w:bCs/>
          <w:sz w:val="24"/>
          <w:szCs w:val="24"/>
        </w:rPr>
        <w:t>w sprawie rozpatrzenia petycji w interesie publicznym, wniesionej przez CASUS</w:t>
      </w:r>
    </w:p>
    <w:p w:rsidR="003B7E60" w:rsidRDefault="003B7E60" w:rsidP="003B7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b/>
          <w:bCs/>
          <w:sz w:val="24"/>
          <w:szCs w:val="24"/>
        </w:rPr>
        <w:t xml:space="preserve">NOSTER Kancelaria Radcy Prawnego Konrad Cezary </w:t>
      </w:r>
      <w:r w:rsidRPr="00930F8E">
        <w:rPr>
          <w:rFonts w:ascii="Times New Roman" w:hAnsi="Times New Roman" w:cs="Times New Roman"/>
          <w:b/>
          <w:sz w:val="24"/>
          <w:szCs w:val="24"/>
        </w:rPr>
        <w:t>Łakomy</w:t>
      </w:r>
    </w:p>
    <w:p w:rsidR="003B7E60" w:rsidRPr="00930F8E" w:rsidRDefault="003B7E60" w:rsidP="003B7E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E60" w:rsidRPr="00930F8E" w:rsidRDefault="003B7E60" w:rsidP="003B7E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Pan Konrad Cezary Łakomy powołując się na art. 2 ust. 1 ustawy z dnia 11 lipca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0F8E">
        <w:rPr>
          <w:rFonts w:ascii="Times New Roman" w:hAnsi="Times New Roman" w:cs="Times New Roman"/>
          <w:sz w:val="24"/>
          <w:szCs w:val="24"/>
        </w:rPr>
        <w:t xml:space="preserve">2014 r. o petycjach, pismem z dnia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0F8E">
        <w:rPr>
          <w:rFonts w:ascii="Times New Roman" w:hAnsi="Times New Roman" w:cs="Times New Roman"/>
          <w:sz w:val="24"/>
          <w:szCs w:val="24"/>
        </w:rPr>
        <w:t xml:space="preserve"> sierpnia 2019 r. wniósł do Rady </w:t>
      </w:r>
      <w:r>
        <w:rPr>
          <w:rFonts w:ascii="Times New Roman" w:hAnsi="Times New Roman" w:cs="Times New Roman"/>
          <w:sz w:val="24"/>
          <w:szCs w:val="24"/>
        </w:rPr>
        <w:t>Gminy Domaradz</w:t>
      </w:r>
      <w:r w:rsidRPr="00930F8E">
        <w:rPr>
          <w:rFonts w:ascii="Times New Roman" w:hAnsi="Times New Roman" w:cs="Times New Roman"/>
          <w:sz w:val="24"/>
          <w:szCs w:val="24"/>
        </w:rPr>
        <w:t xml:space="preserve"> petycję dotyczącą wprowadzenia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 xml:space="preserve">„ </w:t>
      </w:r>
      <w:r w:rsidRPr="00930F8E">
        <w:rPr>
          <w:rFonts w:ascii="Times New Roman" w:hAnsi="Times New Roman" w:cs="Times New Roman"/>
          <w:i/>
          <w:iCs/>
          <w:sz w:val="24"/>
          <w:szCs w:val="24"/>
        </w:rPr>
        <w:t xml:space="preserve">Polityki </w:t>
      </w:r>
      <w:r w:rsidRPr="00930F8E">
        <w:rPr>
          <w:rFonts w:ascii="Times New Roman" w:hAnsi="Times New Roman" w:cs="Times New Roman"/>
          <w:sz w:val="24"/>
          <w:szCs w:val="24"/>
        </w:rPr>
        <w:t xml:space="preserve">Zarządzania </w:t>
      </w:r>
      <w:r w:rsidRPr="00930F8E">
        <w:rPr>
          <w:rFonts w:ascii="Times New Roman" w:hAnsi="Times New Roman" w:cs="Times New Roman"/>
          <w:i/>
          <w:iCs/>
          <w:sz w:val="24"/>
          <w:szCs w:val="24"/>
        </w:rPr>
        <w:t xml:space="preserve">Konfliktem Interesów " </w:t>
      </w:r>
      <w:r w:rsidRPr="00930F8E">
        <w:rPr>
          <w:rFonts w:ascii="Times New Roman" w:hAnsi="Times New Roman" w:cs="Times New Roman"/>
          <w:sz w:val="24"/>
          <w:szCs w:val="24"/>
        </w:rPr>
        <w:t xml:space="preserve">w odniesieniu do radnych </w:t>
      </w:r>
      <w:r>
        <w:rPr>
          <w:rFonts w:ascii="Times New Roman" w:hAnsi="Times New Roman" w:cs="Times New Roman"/>
          <w:sz w:val="24"/>
          <w:szCs w:val="24"/>
        </w:rPr>
        <w:t>gminnych</w:t>
      </w:r>
      <w:r w:rsidRPr="00930F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opublikowania jej treści na stronie BIP, wyznaczenia osoby odpowiedzialnej za egzekwowanie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tej Polityki, wprowadzenia mechanizmu kontroli naruszeń Polityki oraz ustanowienia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 xml:space="preserve">konsekwencji za nieprzestrzeganie „Polityki Zarządzania Konfliktem Interesów"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0F8E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 xml:space="preserve">z zaleceniami Centralnego Biura Antykorupcyjnego zawartymi w dokumencie </w:t>
      </w:r>
      <w:r w:rsidRPr="00930F8E">
        <w:rPr>
          <w:rFonts w:ascii="Times New Roman" w:hAnsi="Times New Roman" w:cs="Times New Roman"/>
          <w:i/>
          <w:iCs/>
          <w:sz w:val="24"/>
          <w:szCs w:val="24"/>
        </w:rPr>
        <w:t>„Korupcja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i/>
          <w:iCs/>
          <w:sz w:val="24"/>
          <w:szCs w:val="24"/>
        </w:rPr>
        <w:t xml:space="preserve">polityczna. Wskazówki dla przedstawicieli organów </w:t>
      </w:r>
      <w:r w:rsidRPr="00930F8E">
        <w:rPr>
          <w:rFonts w:ascii="Times New Roman" w:hAnsi="Times New Roman" w:cs="Times New Roman"/>
          <w:i/>
          <w:sz w:val="24"/>
          <w:szCs w:val="24"/>
        </w:rPr>
        <w:t>władzy</w:t>
      </w:r>
      <w:r w:rsidRPr="00930F8E"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i/>
          <w:iCs/>
          <w:sz w:val="24"/>
          <w:szCs w:val="24"/>
        </w:rPr>
        <w:t>wybieranych w wyborach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i/>
          <w:iCs/>
          <w:sz w:val="24"/>
          <w:szCs w:val="24"/>
        </w:rPr>
        <w:t>powszechnych ".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Rozpatrując niniejszą petycję należy stwierdzić, co następuje:</w:t>
      </w: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• zgodnie z art. 7 Konstytucji Rzeczypospolitej Polskiej , organy władzy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działają na podstawie i w granicach prawa,</w:t>
      </w: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• mechanizmy zapobiegające „Konfliktowi interesów" i zjawisku korupcji wśród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 xml:space="preserve">pełniących funkcje publiczne zostały zawarte m.in. w ustawie z dnia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3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Pr="00930F8E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30F8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0F8E">
        <w:rPr>
          <w:rFonts w:ascii="Times New Roman" w:hAnsi="Times New Roman" w:cs="Times New Roman"/>
          <w:sz w:val="24"/>
          <w:szCs w:val="24"/>
        </w:rPr>
        <w:t xml:space="preserve">o samorządzie </w:t>
      </w:r>
      <w:r>
        <w:rPr>
          <w:rFonts w:ascii="Times New Roman" w:hAnsi="Times New Roman" w:cs="Times New Roman"/>
          <w:sz w:val="24"/>
          <w:szCs w:val="24"/>
        </w:rPr>
        <w:t>gminnym</w:t>
      </w:r>
      <w:r w:rsidRPr="00930F8E">
        <w:rPr>
          <w:rFonts w:ascii="Times New Roman" w:hAnsi="Times New Roman" w:cs="Times New Roman"/>
          <w:sz w:val="24"/>
          <w:szCs w:val="24"/>
        </w:rPr>
        <w:t xml:space="preserve"> /Dz. U. z 2019 r. , </w:t>
      </w:r>
      <w:r>
        <w:rPr>
          <w:rFonts w:ascii="Times New Roman" w:hAnsi="Times New Roman" w:cs="Times New Roman"/>
          <w:sz w:val="24"/>
          <w:szCs w:val="24"/>
        </w:rPr>
        <w:t>poz. 506 z późn. zm.</w:t>
      </w:r>
      <w:r w:rsidRPr="00930F8E">
        <w:rPr>
          <w:rFonts w:ascii="Times New Roman" w:hAnsi="Times New Roman" w:cs="Times New Roman"/>
          <w:sz w:val="24"/>
          <w:szCs w:val="24"/>
        </w:rPr>
        <w:t>/ oraz ustawie z dnia 21 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1990 r. o ograniczeniu prowadzenia działalności gospodarczej przez osoby pełniące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funkcje publiczne (Dz.U z 2017 r. poz. 1393 z późn.zm.) ,</w:t>
      </w: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• organ stanowiący jednostki samorządu terytorialnego nie posiada kompetencji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dodatkowego sankcjonowania i ustalania konsekwencji zachowań , które zostały</w:t>
      </w:r>
      <w:r>
        <w:rPr>
          <w:rFonts w:ascii="Times New Roman" w:hAnsi="Times New Roman" w:cs="Times New Roman"/>
          <w:sz w:val="24"/>
          <w:szCs w:val="24"/>
        </w:rPr>
        <w:t xml:space="preserve"> uregulowane </w:t>
      </w:r>
      <w:r w:rsidRPr="00930F8E">
        <w:rPr>
          <w:rFonts w:ascii="Times New Roman" w:hAnsi="Times New Roman" w:cs="Times New Roman"/>
          <w:sz w:val="24"/>
          <w:szCs w:val="24"/>
        </w:rPr>
        <w:t>w aktach rangi ustawowej. Organy samorządu terytorialnego,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ustanawiając akty prawne, muszą legitymować się wyraźnie udzielonym do tego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upoważnieniem, określającym przedmiot regulacji, jak i organy właściwe do wydania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aktu,</w:t>
      </w: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• mandat radnego jest mandatem wolnym a w jego wykonywaniu radny podlega jedynie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przepisom prawa. Ani wyborcy ani tym bardziej rada nie mogą stosować wobec radnego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żadnych środków dyscyplinarnych.</w:t>
      </w: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E9">
        <w:rPr>
          <w:rFonts w:ascii="Times New Roman" w:hAnsi="Times New Roman" w:cs="Times New Roman"/>
          <w:sz w:val="24"/>
          <w:szCs w:val="24"/>
        </w:rPr>
        <w:t xml:space="preserve">Komisja Skarg, Wniosków i Petycji na posiedzeniu w dniu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6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6A62E9">
        <w:rPr>
          <w:rFonts w:ascii="Times New Roman" w:hAnsi="Times New Roman" w:cs="Times New Roman"/>
          <w:sz w:val="24"/>
          <w:szCs w:val="24"/>
        </w:rPr>
        <w:t xml:space="preserve"> 2019 r. zapozna</w:t>
      </w:r>
      <w:r w:rsidRPr="006A62E9">
        <w:rPr>
          <w:rFonts w:ascii="Times New Roman" w:hAnsi="Times New Roman" w:cs="Times New Roman" w:hint="eastAsia"/>
          <w:sz w:val="24"/>
          <w:szCs w:val="24"/>
        </w:rPr>
        <w:t>ł</w:t>
      </w:r>
      <w:r w:rsidRPr="006A62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sz w:val="24"/>
          <w:szCs w:val="24"/>
        </w:rPr>
        <w:t>si</w:t>
      </w:r>
      <w:r w:rsidRPr="006A62E9">
        <w:rPr>
          <w:rFonts w:ascii="Times New Roman" w:hAnsi="Times New Roman" w:cs="Times New Roman" w:hint="eastAsia"/>
          <w:sz w:val="24"/>
          <w:szCs w:val="24"/>
        </w:rPr>
        <w:t>ę</w:t>
      </w:r>
      <w:r w:rsidRPr="006A6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62E9">
        <w:rPr>
          <w:rFonts w:ascii="Times New Roman" w:hAnsi="Times New Roman" w:cs="Times New Roman"/>
          <w:sz w:val="24"/>
          <w:szCs w:val="24"/>
        </w:rPr>
        <w:t>z dokumentami w sprawie, w tym z publikacj</w:t>
      </w:r>
      <w:r w:rsidRPr="006A62E9">
        <w:rPr>
          <w:rFonts w:ascii="Times New Roman" w:hAnsi="Times New Roman" w:cs="Times New Roman" w:hint="eastAsia"/>
          <w:sz w:val="24"/>
          <w:szCs w:val="24"/>
        </w:rPr>
        <w:t>ą</w:t>
      </w:r>
      <w:r w:rsidRPr="006A62E9">
        <w:rPr>
          <w:rFonts w:ascii="Times New Roman" w:hAnsi="Times New Roman" w:cs="Times New Roman"/>
          <w:sz w:val="24"/>
          <w:szCs w:val="24"/>
        </w:rPr>
        <w:t xml:space="preserve"> „ </w:t>
      </w:r>
      <w:r w:rsidRPr="006A62E9">
        <w:rPr>
          <w:rFonts w:ascii="Times New Roman" w:hAnsi="Times New Roman" w:cs="Times New Roman"/>
          <w:i/>
          <w:iCs/>
          <w:sz w:val="24"/>
          <w:szCs w:val="24"/>
        </w:rPr>
        <w:t>Korupcja polityczna. Wskazówka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i/>
          <w:iCs/>
          <w:sz w:val="24"/>
          <w:szCs w:val="24"/>
        </w:rPr>
        <w:t xml:space="preserve">przedstawicieli organów </w:t>
      </w:r>
      <w:r w:rsidRPr="006A62E9">
        <w:rPr>
          <w:rFonts w:ascii="Times New Roman" w:hAnsi="Times New Roman" w:cs="Times New Roman"/>
          <w:sz w:val="24"/>
          <w:szCs w:val="24"/>
        </w:rPr>
        <w:t>w</w:t>
      </w:r>
      <w:r w:rsidRPr="006A62E9">
        <w:rPr>
          <w:rFonts w:ascii="Times New Roman" w:hAnsi="Times New Roman" w:cs="Times New Roman" w:hint="eastAsia"/>
          <w:sz w:val="24"/>
          <w:szCs w:val="24"/>
        </w:rPr>
        <w:t>ł</w:t>
      </w:r>
      <w:r w:rsidRPr="006A62E9">
        <w:rPr>
          <w:rFonts w:ascii="Times New Roman" w:hAnsi="Times New Roman" w:cs="Times New Roman"/>
          <w:sz w:val="24"/>
          <w:szCs w:val="24"/>
        </w:rPr>
        <w:t xml:space="preserve">adzy </w:t>
      </w:r>
      <w:r w:rsidRPr="006A62E9">
        <w:rPr>
          <w:rFonts w:ascii="Times New Roman" w:hAnsi="Times New Roman" w:cs="Times New Roman"/>
          <w:i/>
          <w:iCs/>
          <w:sz w:val="24"/>
          <w:szCs w:val="24"/>
        </w:rPr>
        <w:t xml:space="preserve">wybieranych w wyborach powszechnych " </w:t>
      </w:r>
      <w:r w:rsidRPr="006A62E9">
        <w:rPr>
          <w:rFonts w:ascii="Times New Roman" w:hAnsi="Times New Roman" w:cs="Times New Roman"/>
          <w:sz w:val="24"/>
          <w:szCs w:val="24"/>
        </w:rPr>
        <w:t>i stwierdzi</w:t>
      </w:r>
      <w:r w:rsidRPr="006A62E9">
        <w:rPr>
          <w:rFonts w:ascii="Times New Roman" w:hAnsi="Times New Roman" w:cs="Times New Roman" w:hint="eastAsia"/>
          <w:sz w:val="24"/>
          <w:szCs w:val="24"/>
        </w:rPr>
        <w:t>ł</w:t>
      </w:r>
      <w:r w:rsidRPr="006A62E9">
        <w:rPr>
          <w:rFonts w:ascii="Times New Roman" w:hAnsi="Times New Roman" w:cs="Times New Roman"/>
          <w:sz w:val="24"/>
          <w:szCs w:val="24"/>
        </w:rPr>
        <w:t xml:space="preserve">a, </w:t>
      </w:r>
      <w:r w:rsidRPr="006A62E9">
        <w:rPr>
          <w:rFonts w:ascii="Times New Roman" w:hAnsi="Times New Roman" w:cs="Times New Roman" w:hint="eastAsia"/>
          <w:sz w:val="24"/>
          <w:szCs w:val="24"/>
        </w:rPr>
        <w:t>ż</w:t>
      </w:r>
      <w:r w:rsidRPr="006A62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62E9">
        <w:rPr>
          <w:rFonts w:ascii="Times New Roman" w:hAnsi="Times New Roman" w:cs="Times New Roman"/>
          <w:sz w:val="24"/>
          <w:szCs w:val="24"/>
        </w:rPr>
        <w:t>w polskim ustawodawstwie nie funkcjonuje prawna definicja „konfliktu interesów".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sz w:val="24"/>
          <w:szCs w:val="24"/>
        </w:rPr>
        <w:t>Opracowanie CBA, w którym poruszane s</w:t>
      </w:r>
      <w:r w:rsidRPr="006A62E9">
        <w:rPr>
          <w:rFonts w:ascii="Times New Roman" w:hAnsi="Times New Roman" w:cs="Times New Roman" w:hint="eastAsia"/>
          <w:sz w:val="24"/>
          <w:szCs w:val="24"/>
        </w:rPr>
        <w:t>ą</w:t>
      </w:r>
      <w:r w:rsidRPr="006A62E9">
        <w:rPr>
          <w:rFonts w:ascii="Times New Roman" w:hAnsi="Times New Roman" w:cs="Times New Roman"/>
          <w:sz w:val="24"/>
          <w:szCs w:val="24"/>
        </w:rPr>
        <w:t xml:space="preserve"> zagadnienia „Konfliktu interesów"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sz w:val="24"/>
          <w:szCs w:val="24"/>
        </w:rPr>
        <w:t>wy</w:t>
      </w:r>
      <w:r w:rsidRPr="006A62E9">
        <w:rPr>
          <w:rFonts w:ascii="Times New Roman" w:hAnsi="Times New Roman" w:cs="Times New Roman" w:hint="eastAsia"/>
          <w:sz w:val="24"/>
          <w:szCs w:val="24"/>
        </w:rPr>
        <w:t>łą</w:t>
      </w:r>
      <w:r w:rsidRPr="006A62E9">
        <w:rPr>
          <w:rFonts w:ascii="Times New Roman" w:hAnsi="Times New Roman" w:cs="Times New Roman"/>
          <w:sz w:val="24"/>
          <w:szCs w:val="24"/>
        </w:rPr>
        <w:t>cznie wskaz</w:t>
      </w:r>
      <w:r w:rsidRPr="006A62E9">
        <w:rPr>
          <w:rFonts w:ascii="Times New Roman" w:hAnsi="Times New Roman" w:cs="Times New Roman" w:hint="eastAsia"/>
          <w:sz w:val="24"/>
          <w:szCs w:val="24"/>
        </w:rPr>
        <w:t>ó</w:t>
      </w:r>
      <w:r w:rsidRPr="006A62E9">
        <w:rPr>
          <w:rFonts w:ascii="Times New Roman" w:hAnsi="Times New Roman" w:cs="Times New Roman"/>
          <w:sz w:val="24"/>
          <w:szCs w:val="24"/>
        </w:rPr>
        <w:t>wk</w:t>
      </w:r>
      <w:r w:rsidRPr="006A62E9">
        <w:rPr>
          <w:rFonts w:ascii="Times New Roman" w:hAnsi="Times New Roman" w:cs="Times New Roman" w:hint="eastAsia"/>
          <w:sz w:val="24"/>
          <w:szCs w:val="24"/>
        </w:rPr>
        <w:t>ę</w:t>
      </w:r>
      <w:r w:rsidRPr="006A62E9">
        <w:rPr>
          <w:rFonts w:ascii="Times New Roman" w:hAnsi="Times New Roman" w:cs="Times New Roman"/>
          <w:sz w:val="24"/>
          <w:szCs w:val="24"/>
        </w:rPr>
        <w:t xml:space="preserve"> dla przedstawicieli w</w:t>
      </w:r>
      <w:r w:rsidRPr="006A62E9">
        <w:rPr>
          <w:rFonts w:ascii="Times New Roman" w:hAnsi="Times New Roman" w:cs="Times New Roman" w:hint="eastAsia"/>
          <w:sz w:val="24"/>
          <w:szCs w:val="24"/>
        </w:rPr>
        <w:t>ł</w:t>
      </w:r>
      <w:r w:rsidRPr="006A62E9">
        <w:rPr>
          <w:rFonts w:ascii="Times New Roman" w:hAnsi="Times New Roman" w:cs="Times New Roman"/>
          <w:sz w:val="24"/>
          <w:szCs w:val="24"/>
        </w:rPr>
        <w:t>adzy wybieranych w wyborach powszechnych,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sz w:val="24"/>
          <w:szCs w:val="24"/>
        </w:rPr>
        <w:t>co do po</w:t>
      </w:r>
      <w:r w:rsidRPr="006A62E9">
        <w:rPr>
          <w:rFonts w:ascii="Times New Roman" w:hAnsi="Times New Roman" w:cs="Times New Roman" w:hint="eastAsia"/>
          <w:sz w:val="24"/>
          <w:szCs w:val="24"/>
        </w:rPr>
        <w:t>żą</w:t>
      </w:r>
      <w:r w:rsidRPr="006A62E9">
        <w:rPr>
          <w:rFonts w:ascii="Times New Roman" w:hAnsi="Times New Roman" w:cs="Times New Roman"/>
          <w:sz w:val="24"/>
          <w:szCs w:val="24"/>
        </w:rPr>
        <w:t>danego sposobu post</w:t>
      </w:r>
      <w:r w:rsidRPr="006A62E9">
        <w:rPr>
          <w:rFonts w:ascii="Times New Roman" w:hAnsi="Times New Roman" w:cs="Times New Roman" w:hint="eastAsia"/>
          <w:sz w:val="24"/>
          <w:szCs w:val="24"/>
        </w:rPr>
        <w:t>ę</w:t>
      </w:r>
      <w:r w:rsidRPr="006A62E9">
        <w:rPr>
          <w:rFonts w:ascii="Times New Roman" w:hAnsi="Times New Roman" w:cs="Times New Roman"/>
          <w:sz w:val="24"/>
          <w:szCs w:val="24"/>
        </w:rPr>
        <w:t>powania zgodnego ze standardami etycznymi i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sz w:val="24"/>
          <w:szCs w:val="24"/>
        </w:rPr>
        <w:t>prawa. Przypomina r</w:t>
      </w:r>
      <w:r w:rsidRPr="006A62E9">
        <w:rPr>
          <w:rFonts w:ascii="Times New Roman" w:hAnsi="Times New Roman" w:cs="Times New Roman" w:hint="eastAsia"/>
          <w:sz w:val="24"/>
          <w:szCs w:val="24"/>
        </w:rPr>
        <w:t>ó</w:t>
      </w:r>
      <w:r w:rsidRPr="006A62E9">
        <w:rPr>
          <w:rFonts w:ascii="Times New Roman" w:hAnsi="Times New Roman" w:cs="Times New Roman"/>
          <w:sz w:val="24"/>
          <w:szCs w:val="24"/>
        </w:rPr>
        <w:t>wnie</w:t>
      </w:r>
      <w:r w:rsidRPr="006A62E9">
        <w:rPr>
          <w:rFonts w:ascii="Times New Roman" w:hAnsi="Times New Roman" w:cs="Times New Roman" w:hint="eastAsia"/>
          <w:sz w:val="24"/>
          <w:szCs w:val="24"/>
        </w:rPr>
        <w:t>ż</w:t>
      </w:r>
      <w:r w:rsidRPr="006A62E9">
        <w:rPr>
          <w:rFonts w:ascii="Times New Roman" w:hAnsi="Times New Roman" w:cs="Times New Roman"/>
          <w:sz w:val="24"/>
          <w:szCs w:val="24"/>
        </w:rPr>
        <w:t xml:space="preserve"> o wybranych zachowaniach</w:t>
      </w:r>
      <w:bookmarkStart w:id="0" w:name="_GoBack"/>
      <w:bookmarkEnd w:id="0"/>
      <w:r w:rsidRPr="006A62E9">
        <w:rPr>
          <w:rFonts w:ascii="Times New Roman" w:hAnsi="Times New Roman" w:cs="Times New Roman"/>
          <w:sz w:val="24"/>
          <w:szCs w:val="24"/>
        </w:rPr>
        <w:t>, prawnie zabronionych,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sz w:val="24"/>
          <w:szCs w:val="24"/>
        </w:rPr>
        <w:t>sankcje zosta</w:t>
      </w:r>
      <w:r w:rsidRPr="006A62E9">
        <w:rPr>
          <w:rFonts w:ascii="Times New Roman" w:hAnsi="Times New Roman" w:cs="Times New Roman" w:hint="eastAsia"/>
          <w:sz w:val="24"/>
          <w:szCs w:val="24"/>
        </w:rPr>
        <w:t>ł</w:t>
      </w:r>
      <w:r w:rsidRPr="006A62E9">
        <w:rPr>
          <w:rFonts w:ascii="Times New Roman" w:hAnsi="Times New Roman" w:cs="Times New Roman"/>
          <w:sz w:val="24"/>
          <w:szCs w:val="24"/>
        </w:rPr>
        <w:t>y okre</w:t>
      </w:r>
      <w:r w:rsidRPr="006A62E9">
        <w:rPr>
          <w:rFonts w:ascii="Times New Roman" w:hAnsi="Times New Roman" w:cs="Times New Roman" w:hint="eastAsia"/>
          <w:sz w:val="24"/>
          <w:szCs w:val="24"/>
        </w:rPr>
        <w:t>ś</w:t>
      </w:r>
      <w:r w:rsidRPr="006A62E9">
        <w:rPr>
          <w:rFonts w:ascii="Times New Roman" w:hAnsi="Times New Roman" w:cs="Times New Roman"/>
          <w:sz w:val="24"/>
          <w:szCs w:val="24"/>
        </w:rPr>
        <w:t>lone w Kodeksie karnym, a które to w wystarczaj</w:t>
      </w:r>
      <w:r w:rsidRPr="006A62E9">
        <w:rPr>
          <w:rFonts w:ascii="Times New Roman" w:hAnsi="Times New Roman" w:cs="Times New Roman" w:hint="eastAsia"/>
          <w:sz w:val="24"/>
          <w:szCs w:val="24"/>
        </w:rPr>
        <w:t>ą</w:t>
      </w:r>
      <w:r w:rsidRPr="006A62E9">
        <w:rPr>
          <w:rFonts w:ascii="Times New Roman" w:hAnsi="Times New Roman" w:cs="Times New Roman"/>
          <w:sz w:val="24"/>
          <w:szCs w:val="24"/>
        </w:rPr>
        <w:t>cy sposób normuj</w:t>
      </w:r>
      <w:r w:rsidRPr="006A62E9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E9">
        <w:rPr>
          <w:rFonts w:ascii="Times New Roman" w:hAnsi="Times New Roman" w:cs="Times New Roman"/>
          <w:sz w:val="24"/>
          <w:szCs w:val="24"/>
        </w:rPr>
        <w:t>i penalizuj</w:t>
      </w:r>
      <w:r w:rsidRPr="006A62E9">
        <w:rPr>
          <w:rFonts w:ascii="Times New Roman" w:hAnsi="Times New Roman" w:cs="Times New Roman" w:hint="eastAsia"/>
          <w:sz w:val="24"/>
          <w:szCs w:val="24"/>
        </w:rPr>
        <w:t>ą</w:t>
      </w:r>
      <w:r w:rsidRPr="006A62E9">
        <w:rPr>
          <w:rFonts w:ascii="Times New Roman" w:hAnsi="Times New Roman" w:cs="Times New Roman"/>
          <w:sz w:val="24"/>
          <w:szCs w:val="24"/>
        </w:rPr>
        <w:t xml:space="preserve"> niezgodne z prawem zachowania, o których mowa w petycji.</w:t>
      </w: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W świetle powyższego Komisja Skarg , Wniosków i Petycji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 xml:space="preserve">stwierdziła 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0F8E">
        <w:rPr>
          <w:rFonts w:ascii="Times New Roman" w:hAnsi="Times New Roman" w:cs="Times New Roman"/>
          <w:sz w:val="24"/>
          <w:szCs w:val="24"/>
        </w:rPr>
        <w:t>ż nie zasługują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uwzględnienie wnioski zawarte w petycji , gdyż wprowadzenie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proponowanych uregulowań, jest niecelowe.</w:t>
      </w: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>Wobec braku upoważnienia ustawowego do podjęcia działań zmierzających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 xml:space="preserve">wniosków zawartych w petycji , </w:t>
      </w:r>
      <w:r>
        <w:rPr>
          <w:rFonts w:ascii="Times New Roman" w:hAnsi="Times New Roman" w:cs="Times New Roman"/>
          <w:sz w:val="24"/>
          <w:szCs w:val="24"/>
        </w:rPr>
        <w:t>Komi</w:t>
      </w:r>
      <w:r w:rsidRPr="00930F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30F8E">
        <w:rPr>
          <w:rFonts w:ascii="Times New Roman" w:hAnsi="Times New Roman" w:cs="Times New Roman"/>
          <w:sz w:val="24"/>
          <w:szCs w:val="24"/>
        </w:rPr>
        <w:t xml:space="preserve">a Skarg , Wniosków i Petycji </w:t>
      </w:r>
      <w:r>
        <w:rPr>
          <w:rFonts w:ascii="Times New Roman" w:hAnsi="Times New Roman" w:cs="Times New Roman"/>
          <w:sz w:val="24"/>
          <w:szCs w:val="24"/>
        </w:rPr>
        <w:t>uzna</w:t>
      </w:r>
      <w:r w:rsidRPr="00930F8E">
        <w:rPr>
          <w:rFonts w:ascii="Times New Roman" w:hAnsi="Times New Roman" w:cs="Times New Roman"/>
          <w:sz w:val="24"/>
          <w:szCs w:val="24"/>
        </w:rPr>
        <w:t>ła petycję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ezzasa</w:t>
      </w:r>
      <w:r w:rsidRPr="00930F8E">
        <w:rPr>
          <w:rFonts w:ascii="Times New Roman" w:hAnsi="Times New Roman" w:cs="Times New Roman"/>
          <w:sz w:val="24"/>
          <w:szCs w:val="24"/>
        </w:rPr>
        <w:t>dną.</w:t>
      </w:r>
    </w:p>
    <w:p w:rsidR="003B7E60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60" w:rsidRPr="00930F8E" w:rsidRDefault="003B7E60" w:rsidP="003B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E">
        <w:rPr>
          <w:rFonts w:ascii="Times New Roman" w:hAnsi="Times New Roman" w:cs="Times New Roman"/>
          <w:sz w:val="24"/>
          <w:szCs w:val="24"/>
        </w:rPr>
        <w:t xml:space="preserve">Mając powyższe na uwadze , Rada </w:t>
      </w:r>
      <w:r>
        <w:rPr>
          <w:rFonts w:ascii="Times New Roman" w:hAnsi="Times New Roman" w:cs="Times New Roman"/>
          <w:sz w:val="24"/>
          <w:szCs w:val="24"/>
        </w:rPr>
        <w:t>Gminy Domaradz</w:t>
      </w:r>
      <w:r w:rsidRPr="00930F8E">
        <w:rPr>
          <w:rFonts w:ascii="Times New Roman" w:hAnsi="Times New Roman" w:cs="Times New Roman"/>
          <w:sz w:val="24"/>
          <w:szCs w:val="24"/>
        </w:rPr>
        <w:t xml:space="preserve"> przychyliła się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0F8E">
        <w:rPr>
          <w:rFonts w:ascii="Times New Roman" w:hAnsi="Times New Roman" w:cs="Times New Roman"/>
          <w:sz w:val="24"/>
          <w:szCs w:val="24"/>
        </w:rPr>
        <w:t>tanowiska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Komisji Skarg, Wniosków i Petycji i postanowiła nie uwzględniać wniosków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w petycji złożonej przez CASUS NOSTER Kancelaria Radcy Prawnego Konrad Cezary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8E">
        <w:rPr>
          <w:rFonts w:ascii="Times New Roman" w:hAnsi="Times New Roman" w:cs="Times New Roman"/>
          <w:sz w:val="24"/>
          <w:szCs w:val="24"/>
        </w:rPr>
        <w:t>Łakomy.</w:t>
      </w:r>
    </w:p>
    <w:p w:rsidR="00345EF0" w:rsidRDefault="00345EF0"/>
    <w:sectPr w:rsidR="00345EF0" w:rsidSect="00930F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1B"/>
    <w:rsid w:val="0026311B"/>
    <w:rsid w:val="00345EF0"/>
    <w:rsid w:val="003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CDDF-05B0-4CEC-91AA-2FF0164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2019-11-13T09:52:00Z</dcterms:created>
  <dcterms:modified xsi:type="dcterms:W3CDTF">2019-11-13T09:53:00Z</dcterms:modified>
</cp:coreProperties>
</file>